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C8" w:rsidRPr="009B1D81" w:rsidRDefault="00577AC8" w:rsidP="00577AC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77AC8" w:rsidRPr="009B1D81" w:rsidRDefault="00577AC8" w:rsidP="00577AC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577AC8" w:rsidRPr="009B1D81" w:rsidRDefault="00577AC8" w:rsidP="00577AC8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7E3753" w:rsidRDefault="00577AC8" w:rsidP="00577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марта 2024 г. № ПР-322-135-о</w:t>
      </w:r>
    </w:p>
    <w:p w:rsidR="00577AC8" w:rsidRDefault="00577AC8" w:rsidP="00577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796" w:rsidRPr="00C14796" w:rsidRDefault="00C14796" w:rsidP="00C1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правоприменительной практике контрольной (надзорной)</w:t>
      </w:r>
    </w:p>
    <w:p w:rsidR="00C14796" w:rsidRPr="00C14796" w:rsidRDefault="00C14796" w:rsidP="006B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 при </w:t>
      </w:r>
      <w:r w:rsidRPr="00C1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федерального государственного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C1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нергетического надзора </w:t>
      </w:r>
      <w:bookmarkEnd w:id="0"/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 </w:t>
      </w:r>
      <w:r w:rsidRPr="00C14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C14796" w:rsidRDefault="00C14796" w:rsidP="00C14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6246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ами</w:t>
      </w:r>
      <w:r w:rsidRPr="00D66246">
        <w:rPr>
          <w:rFonts w:ascii="Times New Roman" w:hAnsi="Times New Roman"/>
          <w:sz w:val="28"/>
          <w:szCs w:val="28"/>
        </w:rPr>
        <w:t xml:space="preserve"> энергетического надзора </w:t>
      </w:r>
      <w:r>
        <w:rPr>
          <w:rFonts w:ascii="Times New Roman" w:hAnsi="Times New Roman"/>
          <w:sz w:val="28"/>
          <w:szCs w:val="28"/>
        </w:rPr>
        <w:t>в разрезе трех субъектов Тюменская область, Ханты-Мансийский автономный округ, Ямало-Ненецкий автономный округ</w:t>
      </w:r>
      <w:r w:rsidR="00577AC8">
        <w:rPr>
          <w:rFonts w:ascii="Times New Roman" w:hAnsi="Times New Roman"/>
          <w:sz w:val="28"/>
          <w:szCs w:val="28"/>
        </w:rPr>
        <w:t xml:space="preserve"> </w:t>
      </w:r>
      <w:r w:rsidRPr="00D66246">
        <w:rPr>
          <w:rFonts w:ascii="Times New Roman" w:hAnsi="Times New Roman"/>
          <w:sz w:val="28"/>
          <w:szCs w:val="28"/>
        </w:rPr>
        <w:t>Северо-Уральск</w:t>
      </w:r>
      <w:r>
        <w:rPr>
          <w:rFonts w:ascii="Times New Roman" w:hAnsi="Times New Roman"/>
          <w:sz w:val="28"/>
          <w:szCs w:val="28"/>
        </w:rPr>
        <w:t>ое управление Ростехнадзора</w:t>
      </w:r>
      <w:r w:rsidRPr="00D66246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D66246">
        <w:rPr>
          <w:rFonts w:ascii="Times New Roman" w:hAnsi="Times New Roman"/>
          <w:sz w:val="28"/>
          <w:szCs w:val="28"/>
        </w:rPr>
        <w:t xml:space="preserve"> федеральный государственный энергетический надзор в отношении </w:t>
      </w:r>
      <w:r>
        <w:rPr>
          <w:rFonts w:ascii="Times New Roman" w:hAnsi="Times New Roman"/>
          <w:sz w:val="28"/>
          <w:szCs w:val="28"/>
        </w:rPr>
        <w:t>12936</w:t>
      </w:r>
      <w:r w:rsidRPr="00D66246">
        <w:rPr>
          <w:rFonts w:ascii="Times New Roman" w:hAnsi="Times New Roman"/>
          <w:sz w:val="28"/>
          <w:szCs w:val="28"/>
        </w:rPr>
        <w:t xml:space="preserve"> организаций, в том числе: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>–</w:t>
      </w:r>
      <w:r w:rsidRPr="00D66246">
        <w:rPr>
          <w:rFonts w:ascii="Times New Roman" w:hAnsi="Times New Roman"/>
          <w:sz w:val="28"/>
          <w:szCs w:val="28"/>
        </w:rPr>
        <w:tab/>
        <w:t xml:space="preserve">высокого риска – </w:t>
      </w:r>
      <w:r>
        <w:rPr>
          <w:rFonts w:ascii="Times New Roman" w:hAnsi="Times New Roman"/>
          <w:sz w:val="28"/>
          <w:szCs w:val="28"/>
        </w:rPr>
        <w:t>23</w:t>
      </w:r>
      <w:r w:rsidRPr="00D66246">
        <w:rPr>
          <w:rFonts w:ascii="Times New Roman" w:hAnsi="Times New Roman"/>
          <w:sz w:val="28"/>
          <w:szCs w:val="28"/>
        </w:rPr>
        <w:t>;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>–</w:t>
      </w:r>
      <w:r w:rsidRPr="00D66246">
        <w:rPr>
          <w:rFonts w:ascii="Times New Roman" w:hAnsi="Times New Roman"/>
          <w:sz w:val="28"/>
          <w:szCs w:val="28"/>
        </w:rPr>
        <w:tab/>
        <w:t>значительного риска – 1</w:t>
      </w:r>
      <w:r>
        <w:rPr>
          <w:rFonts w:ascii="Times New Roman" w:hAnsi="Times New Roman"/>
          <w:sz w:val="28"/>
          <w:szCs w:val="28"/>
        </w:rPr>
        <w:t>6</w:t>
      </w:r>
      <w:r w:rsidRPr="00D66246">
        <w:rPr>
          <w:rFonts w:ascii="Times New Roman" w:hAnsi="Times New Roman"/>
          <w:sz w:val="28"/>
          <w:szCs w:val="28"/>
        </w:rPr>
        <w:t>;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>–</w:t>
      </w:r>
      <w:r w:rsidRPr="00D66246">
        <w:rPr>
          <w:rFonts w:ascii="Times New Roman" w:hAnsi="Times New Roman"/>
          <w:sz w:val="28"/>
          <w:szCs w:val="28"/>
        </w:rPr>
        <w:tab/>
        <w:t>среднего риска – 2</w:t>
      </w:r>
      <w:r>
        <w:rPr>
          <w:rFonts w:ascii="Times New Roman" w:hAnsi="Times New Roman"/>
          <w:sz w:val="28"/>
          <w:szCs w:val="28"/>
        </w:rPr>
        <w:t>82</w:t>
      </w:r>
      <w:r w:rsidRPr="00D66246">
        <w:rPr>
          <w:rFonts w:ascii="Times New Roman" w:hAnsi="Times New Roman"/>
          <w:sz w:val="28"/>
          <w:szCs w:val="28"/>
        </w:rPr>
        <w:t>;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>–</w:t>
      </w:r>
      <w:r w:rsidRPr="00D66246">
        <w:rPr>
          <w:rFonts w:ascii="Times New Roman" w:hAnsi="Times New Roman"/>
          <w:sz w:val="28"/>
          <w:szCs w:val="28"/>
        </w:rPr>
        <w:tab/>
        <w:t xml:space="preserve">умеренного риска – </w:t>
      </w:r>
      <w:r>
        <w:rPr>
          <w:rFonts w:ascii="Times New Roman" w:hAnsi="Times New Roman"/>
          <w:sz w:val="28"/>
          <w:szCs w:val="28"/>
        </w:rPr>
        <w:t>5591</w:t>
      </w:r>
      <w:r w:rsidRPr="00D66246">
        <w:rPr>
          <w:rFonts w:ascii="Times New Roman" w:hAnsi="Times New Roman"/>
          <w:sz w:val="28"/>
          <w:szCs w:val="28"/>
        </w:rPr>
        <w:t>;</w:t>
      </w:r>
    </w:p>
    <w:p w:rsidR="00C1479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>–</w:t>
      </w:r>
      <w:r w:rsidRPr="00D66246">
        <w:rPr>
          <w:rFonts w:ascii="Times New Roman" w:hAnsi="Times New Roman"/>
          <w:sz w:val="28"/>
          <w:szCs w:val="28"/>
        </w:rPr>
        <w:tab/>
        <w:t xml:space="preserve">низкого риска – </w:t>
      </w:r>
      <w:r>
        <w:rPr>
          <w:rFonts w:ascii="Times New Roman" w:hAnsi="Times New Roman"/>
          <w:sz w:val="28"/>
          <w:szCs w:val="28"/>
        </w:rPr>
        <w:t>7024</w:t>
      </w:r>
      <w:r w:rsidRPr="00D66246">
        <w:rPr>
          <w:rFonts w:ascii="Times New Roman" w:hAnsi="Times New Roman"/>
          <w:sz w:val="28"/>
          <w:szCs w:val="28"/>
        </w:rPr>
        <w:t>.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 xml:space="preserve">За отчетный период проведено </w:t>
      </w:r>
      <w:r>
        <w:rPr>
          <w:rFonts w:ascii="Times New Roman" w:hAnsi="Times New Roman"/>
          <w:sz w:val="28"/>
          <w:szCs w:val="28"/>
        </w:rPr>
        <w:t xml:space="preserve">7699 </w:t>
      </w:r>
      <w:r w:rsidRPr="00D66246">
        <w:rPr>
          <w:rFonts w:ascii="Times New Roman" w:hAnsi="Times New Roman"/>
          <w:sz w:val="28"/>
          <w:szCs w:val="28"/>
        </w:rPr>
        <w:t>проверок:</w:t>
      </w:r>
    </w:p>
    <w:p w:rsidR="00C14796" w:rsidRPr="00D6624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624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18</w:t>
      </w:r>
      <w:r w:rsidRPr="00D66246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ых</w:t>
      </w:r>
      <w:r w:rsidRPr="00D66246">
        <w:rPr>
          <w:rFonts w:ascii="Times New Roman" w:hAnsi="Times New Roman"/>
          <w:sz w:val="28"/>
          <w:szCs w:val="28"/>
        </w:rPr>
        <w:t>;</w:t>
      </w:r>
    </w:p>
    <w:p w:rsidR="00C14796" w:rsidRPr="002A72C2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2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</w:t>
      </w:r>
      <w:r w:rsidRPr="002A72C2">
        <w:rPr>
          <w:rFonts w:ascii="Times New Roman" w:hAnsi="Times New Roman"/>
          <w:sz w:val="28"/>
          <w:szCs w:val="28"/>
        </w:rPr>
        <w:t xml:space="preserve"> внепланов</w:t>
      </w:r>
      <w:r>
        <w:rPr>
          <w:rFonts w:ascii="Times New Roman" w:hAnsi="Times New Roman"/>
          <w:sz w:val="28"/>
          <w:szCs w:val="28"/>
        </w:rPr>
        <w:t>ых</w:t>
      </w:r>
      <w:r w:rsidRPr="002A72C2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</w:t>
      </w:r>
      <w:r w:rsidR="007F4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2A72C2">
        <w:rPr>
          <w:rFonts w:ascii="Times New Roman" w:hAnsi="Times New Roman"/>
          <w:sz w:val="28"/>
          <w:szCs w:val="28"/>
        </w:rPr>
        <w:t>по согласованию с прокуратурой</w:t>
      </w:r>
      <w:r>
        <w:rPr>
          <w:rFonts w:ascii="Times New Roman" w:hAnsi="Times New Roman"/>
          <w:sz w:val="28"/>
          <w:szCs w:val="28"/>
        </w:rPr>
        <w:t xml:space="preserve"> 4 проверки, 1 проверка по требованию про</w:t>
      </w:r>
      <w:r w:rsidR="00577AC8">
        <w:rPr>
          <w:rFonts w:ascii="Times New Roman" w:hAnsi="Times New Roman"/>
          <w:sz w:val="28"/>
          <w:szCs w:val="28"/>
        </w:rPr>
        <w:t>куратуры, совместных проверок с </w:t>
      </w:r>
      <w:r>
        <w:rPr>
          <w:rFonts w:ascii="Times New Roman" w:hAnsi="Times New Roman"/>
          <w:sz w:val="28"/>
          <w:szCs w:val="28"/>
        </w:rPr>
        <w:t>привлечением представителей Управления 29</w:t>
      </w:r>
      <w:r w:rsidRPr="002A72C2">
        <w:rPr>
          <w:rFonts w:ascii="Times New Roman" w:hAnsi="Times New Roman"/>
          <w:sz w:val="28"/>
          <w:szCs w:val="28"/>
        </w:rPr>
        <w:t>;</w:t>
      </w:r>
    </w:p>
    <w:p w:rsidR="00C14796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72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7650</w:t>
      </w:r>
      <w:r w:rsidRPr="002A72C2">
        <w:rPr>
          <w:rFonts w:ascii="Times New Roman" w:hAnsi="Times New Roman"/>
          <w:sz w:val="28"/>
          <w:szCs w:val="28"/>
        </w:rPr>
        <w:t xml:space="preserve"> иных проверок.</w:t>
      </w:r>
    </w:p>
    <w:tbl>
      <w:tblPr>
        <w:tblStyle w:val="11"/>
        <w:tblW w:w="10268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631"/>
        <w:gridCol w:w="4155"/>
        <w:gridCol w:w="1321"/>
        <w:gridCol w:w="1514"/>
        <w:gridCol w:w="1514"/>
        <w:gridCol w:w="1133"/>
      </w:tblGrid>
      <w:tr w:rsidR="00C14796" w:rsidRPr="00DD65D7" w:rsidTr="00577AC8">
        <w:trPr>
          <w:trHeight w:val="738"/>
          <w:tblCellSpacing w:w="20" w:type="dxa"/>
        </w:trPr>
        <w:tc>
          <w:tcPr>
            <w:tcW w:w="571" w:type="dxa"/>
            <w:vAlign w:val="center"/>
          </w:tcPr>
          <w:p w:rsidR="00C14796" w:rsidRPr="00DD65D7" w:rsidRDefault="00C14796" w:rsidP="00033451">
            <w:pPr>
              <w:spacing w:after="20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5" w:type="dxa"/>
            <w:vAlign w:val="center"/>
          </w:tcPr>
          <w:p w:rsidR="00C14796" w:rsidRPr="00DD65D7" w:rsidRDefault="00C14796" w:rsidP="00033451">
            <w:pPr>
              <w:spacing w:after="20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1" w:type="dxa"/>
            <w:vAlign w:val="center"/>
          </w:tcPr>
          <w:p w:rsidR="00C14796" w:rsidRPr="00DD65D7" w:rsidRDefault="00C14796" w:rsidP="00033451">
            <w:pPr>
              <w:spacing w:after="200" w:line="36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474" w:type="dxa"/>
            <w:vAlign w:val="center"/>
          </w:tcPr>
          <w:p w:rsidR="00C14796" w:rsidRPr="00DD65D7" w:rsidRDefault="00C14796" w:rsidP="00033451">
            <w:pPr>
              <w:spacing w:after="200" w:line="360" w:lineRule="exact"/>
              <w:ind w:right="8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360" w:lineRule="exact"/>
              <w:ind w:right="8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12 мес. 2022г.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360" w:lineRule="exact"/>
              <w:ind w:right="8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b/>
                <w:sz w:val="24"/>
                <w:szCs w:val="24"/>
              </w:rPr>
              <w:t>12 мес. 2023г.</w:t>
            </w:r>
          </w:p>
        </w:tc>
      </w:tr>
      <w:tr w:rsidR="00C14796" w:rsidRPr="00DD65D7" w:rsidTr="00577AC8">
        <w:trPr>
          <w:trHeight w:val="653"/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контрольных (надзорных) мероприятий и контрольных действий, всего, </w:t>
            </w:r>
          </w:p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</w:tc>
        <w:tc>
          <w:tcPr>
            <w:tcW w:w="1281" w:type="dxa"/>
          </w:tcPr>
          <w:p w:rsidR="00C14796" w:rsidRPr="00DD65D7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2452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11460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11460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7699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ind w:firstLine="317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плановые проверки</w:t>
            </w:r>
          </w:p>
        </w:tc>
        <w:tc>
          <w:tcPr>
            <w:tcW w:w="1281" w:type="dxa"/>
          </w:tcPr>
          <w:p w:rsidR="00C14796" w:rsidRPr="00DD65D7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ind w:firstLine="317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внеплановые проверки</w:t>
            </w:r>
          </w:p>
        </w:tc>
        <w:tc>
          <w:tcPr>
            <w:tcW w:w="1281" w:type="dxa"/>
          </w:tcPr>
          <w:p w:rsidR="00C14796" w:rsidRPr="00DD65D7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12383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11438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11438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7681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Выявлено правонарушений, всего</w:t>
            </w:r>
          </w:p>
        </w:tc>
        <w:tc>
          <w:tcPr>
            <w:tcW w:w="1281" w:type="dxa"/>
          </w:tcPr>
          <w:p w:rsidR="00C14796" w:rsidRPr="00845632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15142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lang w:val="en-US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D65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  <w:r w:rsidRPr="00DD65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10629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 w:rsidRPr="00DD65D7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9396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административных наказаний, всего, </w:t>
            </w:r>
          </w:p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из них:</w:t>
            </w:r>
          </w:p>
        </w:tc>
        <w:tc>
          <w:tcPr>
            <w:tcW w:w="1281" w:type="dxa"/>
          </w:tcPr>
          <w:p w:rsidR="00C14796" w:rsidRPr="00845632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DD65D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ind w:left="366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1281" w:type="dxa"/>
          </w:tcPr>
          <w:p w:rsidR="00C14796" w:rsidRPr="00845632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ind w:left="366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281" w:type="dxa"/>
          </w:tcPr>
          <w:p w:rsidR="00C14796" w:rsidRPr="00DD65D7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ind w:left="366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административный штраф</w:t>
            </w:r>
          </w:p>
        </w:tc>
        <w:tc>
          <w:tcPr>
            <w:tcW w:w="1281" w:type="dxa"/>
          </w:tcPr>
          <w:p w:rsidR="00C14796" w:rsidRPr="00845632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231</w:t>
            </w:r>
          </w:p>
        </w:tc>
        <w:tc>
          <w:tcPr>
            <w:tcW w:w="1474" w:type="dxa"/>
          </w:tcPr>
          <w:p w:rsidR="00C14796" w:rsidRPr="00374A1C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</w:tr>
      <w:tr w:rsidR="00C14796" w:rsidRPr="00DD65D7" w:rsidTr="00577AC8">
        <w:trPr>
          <w:tblCellSpacing w:w="20" w:type="dxa"/>
        </w:trPr>
        <w:tc>
          <w:tcPr>
            <w:tcW w:w="571" w:type="dxa"/>
          </w:tcPr>
          <w:p w:rsidR="00C14796" w:rsidRPr="00DD65D7" w:rsidRDefault="00C14796" w:rsidP="0003345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C14796" w:rsidRPr="00DD65D7" w:rsidRDefault="00C14796" w:rsidP="000334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Общая сумма наложенных административных штрафов, (тыс. руб.)</w:t>
            </w:r>
          </w:p>
        </w:tc>
        <w:tc>
          <w:tcPr>
            <w:tcW w:w="1281" w:type="dxa"/>
          </w:tcPr>
          <w:p w:rsidR="00C14796" w:rsidRPr="00DD65D7" w:rsidRDefault="00C14796" w:rsidP="00033451">
            <w:pPr>
              <w:spacing w:after="200" w:line="276" w:lineRule="auto"/>
              <w:jc w:val="center"/>
              <w:rPr>
                <w:rFonts w:eastAsia="Calibri" w:cs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2537</w:t>
            </w: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6098,293</w:t>
            </w:r>
          </w:p>
        </w:tc>
        <w:tc>
          <w:tcPr>
            <w:tcW w:w="1474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</w:rPr>
            </w:pPr>
            <w:r w:rsidRPr="00DD65D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6098,293</w:t>
            </w:r>
          </w:p>
        </w:tc>
        <w:tc>
          <w:tcPr>
            <w:tcW w:w="1073" w:type="dxa"/>
          </w:tcPr>
          <w:p w:rsidR="00C14796" w:rsidRPr="00DD65D7" w:rsidRDefault="00C14796" w:rsidP="00033451">
            <w:pPr>
              <w:spacing w:after="200" w:line="276" w:lineRule="auto"/>
              <w:ind w:right="288"/>
              <w:jc w:val="center"/>
              <w:rPr>
                <w:rFonts w:eastAsia="Calibri" w:cs="Calibri"/>
                <w:color w:val="FF000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924,5</w:t>
            </w:r>
          </w:p>
        </w:tc>
      </w:tr>
    </w:tbl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Типичные нарушения обязательных требований Правил: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 xml:space="preserve">- не представлен порядок по локализации и </w:t>
      </w:r>
      <w:r w:rsidR="00577AC8">
        <w:rPr>
          <w:rFonts w:ascii="Times New Roman" w:hAnsi="Times New Roman"/>
          <w:sz w:val="28"/>
          <w:szCs w:val="28"/>
        </w:rPr>
        <w:t>ликвидации аварийных ситуаций в </w:t>
      </w:r>
      <w:r w:rsidRPr="005A52BA">
        <w:rPr>
          <w:rFonts w:ascii="Times New Roman" w:hAnsi="Times New Roman"/>
          <w:sz w:val="28"/>
          <w:szCs w:val="28"/>
        </w:rPr>
        <w:t>системе теплоснабжения не учтены взаимодействия тепло, электро, водоснабжающих организаций и потребителей тепловой энергии, а также органов местного самоуправления;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не представлены результаты проведения режимно-наладочных испытаний котлов;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не представлены графики проведения противоаварийных тренировок;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отсутствует соглашение об управлении системой теплоснабжения, заключенного в порядке, установленном Законом о теплоснабжении;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не представлены результаты технического диагностирования специализированной организацией оборудования, отработавшего расчетный ресурс;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не обеспечена проверка качества строительства принадлежащих им тепловых сетей;</w:t>
      </w:r>
    </w:p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- не в полном объеме выполнен план-график ремонта тепловых сетей, отсутствуют акты выполненных работ на ремонт тепловых энергоустановок. Случаи причинения вреда (ущерба) охраняемым законом ценностям, выявленных источников и факторах риска причинения вреда (</w:t>
      </w:r>
      <w:r w:rsidR="00577AC8">
        <w:rPr>
          <w:rFonts w:ascii="Times New Roman" w:hAnsi="Times New Roman"/>
          <w:sz w:val="28"/>
          <w:szCs w:val="28"/>
        </w:rPr>
        <w:t>ущерба) в динамике изменений по </w:t>
      </w:r>
      <w:r w:rsidRPr="005A52BA">
        <w:rPr>
          <w:rFonts w:ascii="Times New Roman" w:hAnsi="Times New Roman"/>
          <w:sz w:val="28"/>
          <w:szCs w:val="28"/>
        </w:rPr>
        <w:t>сравнению с предыдущим годом</w:t>
      </w:r>
    </w:p>
    <w:p w:rsidR="00C14796" w:rsidRPr="005A52BA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 xml:space="preserve">За 12 месяцев 2023 года зарегистрировано 1 технологическое нарушение в энергетике, имеющее признаки аварии, классифицированные в соответствии </w:t>
      </w:r>
      <w:r w:rsidRPr="005A52BA">
        <w:rPr>
          <w:rFonts w:ascii="Times New Roman" w:hAnsi="Times New Roman"/>
          <w:sz w:val="28"/>
          <w:szCs w:val="28"/>
        </w:rPr>
        <w:lastRenderedPageBreak/>
        <w:t>с пунктом 4 и) Правил расследования причин аварий в электроэнергетике, утвержденных постановлением Правительства Российской Федерации от 28.10.2009 № 846.</w:t>
      </w:r>
    </w:p>
    <w:p w:rsidR="00C14796" w:rsidRPr="005A52BA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27.11.2023 в 06 ч. 52 мин. (время местное) аварийно</w:t>
      </w:r>
      <w:r w:rsidR="007F4484">
        <w:rPr>
          <w:rFonts w:ascii="Times New Roman" w:hAnsi="Times New Roman"/>
          <w:sz w:val="28"/>
          <w:szCs w:val="28"/>
        </w:rPr>
        <w:t xml:space="preserve"> </w:t>
      </w:r>
      <w:r w:rsidRPr="005A52BA">
        <w:rPr>
          <w:rFonts w:ascii="Times New Roman" w:hAnsi="Times New Roman"/>
          <w:sz w:val="28"/>
          <w:szCs w:val="28"/>
        </w:rPr>
        <w:t xml:space="preserve">отключилась </w:t>
      </w:r>
      <w:r w:rsidRPr="005A52BA">
        <w:rPr>
          <w:rFonts w:ascii="Times New Roman" w:hAnsi="Times New Roman"/>
          <w:sz w:val="28"/>
          <w:szCs w:val="28"/>
        </w:rPr>
        <w:br/>
        <w:t>ВЛ 220 кВ Надым - Салехард № 2 действием защит (ДФЗ, 1 ст. ЗЗ) с неуспешным АПВ. В 06-59-15 на ТЭС Салехард (14 МВт) аварийно отключились ГПА № 8, ГПА № 7, ГПА № 2 (каждый 1,75 МВт) действием технологических защит управления газопоршневыми двигателями путем формирования сигналов от блоков контроля двигателями SSM558 в блоки GCP: «Тя</w:t>
      </w:r>
      <w:r w:rsidR="00577AC8">
        <w:rPr>
          <w:rFonts w:ascii="Times New Roman" w:hAnsi="Times New Roman"/>
          <w:sz w:val="28"/>
          <w:szCs w:val="28"/>
        </w:rPr>
        <w:t>желое детонационное сгорание» с </w:t>
      </w:r>
      <w:r w:rsidRPr="005A52BA">
        <w:rPr>
          <w:rFonts w:ascii="Times New Roman" w:hAnsi="Times New Roman"/>
          <w:sz w:val="28"/>
          <w:szCs w:val="28"/>
        </w:rPr>
        <w:t>выделением на изолированную работу Салехардскогоэнергорайона. Проведено расследование аварии комиссией Управления.</w:t>
      </w:r>
    </w:p>
    <w:p w:rsidR="00C14796" w:rsidRPr="005A52BA" w:rsidRDefault="00C14796" w:rsidP="00577AC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Аварийных ситуаций на объектах энергетики, послуживших причиной прекращения (ограничения) электроснабжения</w:t>
      </w:r>
      <w:r w:rsidR="00577AC8">
        <w:rPr>
          <w:rFonts w:ascii="Times New Roman" w:hAnsi="Times New Roman"/>
          <w:sz w:val="28"/>
          <w:szCs w:val="28"/>
        </w:rPr>
        <w:t xml:space="preserve"> потребителей на срок 24 часа и </w:t>
      </w:r>
      <w:r w:rsidRPr="005A52BA">
        <w:rPr>
          <w:rFonts w:ascii="Times New Roman" w:hAnsi="Times New Roman"/>
          <w:sz w:val="28"/>
          <w:szCs w:val="28"/>
        </w:rPr>
        <w:t xml:space="preserve">более, аварийных ситуаций, приведших к прекращению теплоснабжения потребителей в отопительный период на срок более 24 часов, по информации энергоснабжающих организаций, не происходило.             </w:t>
      </w:r>
    </w:p>
    <w:p w:rsidR="00C14796" w:rsidRPr="005A52BA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29.05.2023 принято участие в расс</w:t>
      </w:r>
      <w:r w:rsidR="00577AC8">
        <w:rPr>
          <w:rFonts w:ascii="Times New Roman" w:hAnsi="Times New Roman"/>
          <w:sz w:val="28"/>
          <w:szCs w:val="28"/>
        </w:rPr>
        <w:t>ледовании несчастного случая со </w:t>
      </w:r>
      <w:r w:rsidRPr="005A52BA">
        <w:rPr>
          <w:rFonts w:ascii="Times New Roman" w:hAnsi="Times New Roman"/>
          <w:sz w:val="28"/>
          <w:szCs w:val="28"/>
        </w:rPr>
        <w:t>смертельным исходом с электромонтером по ремонту и монтажу кабельных линий Калгановым И.А. ООО «Западно-Сибирский Нефтехимический комбинат». Несчастный случай произошел при монтаже кабельных муфт в ЗРУ-10кВ (первая секция шин) в здании подстанции ПС 110 кВ Сырьевая по адресу г. Тобольск, промзона, опасный фактор травмирование электрическим током напряжением 10 кВ. Причинами явились неудовлетворительная организация работ, недостатки требований безопасности в технологической документации исходя из оценки уровня профессионального риска по классификаци</w:t>
      </w:r>
      <w:r w:rsidR="00577AC8">
        <w:rPr>
          <w:rFonts w:ascii="Times New Roman" w:hAnsi="Times New Roman"/>
          <w:sz w:val="28"/>
          <w:szCs w:val="28"/>
        </w:rPr>
        <w:t>и, обнаружению, распознаванию и </w:t>
      </w:r>
      <w:r w:rsidRPr="005A52BA">
        <w:rPr>
          <w:rFonts w:ascii="Times New Roman" w:hAnsi="Times New Roman"/>
          <w:sz w:val="28"/>
          <w:szCs w:val="28"/>
        </w:rPr>
        <w:t xml:space="preserve">описанию опасностей на рабочем месте, несогласованность действий исполнителей, взаимодействия между службами и подразделениями. Управление инициировало внеплановую выездную проверку в отношении  ООО «Западно-Сибирский Нефтехимический комбинат», проверка согласована Прокуратурой  Тюменской области. По результатам проверки выявлено 48 нарушений норм </w:t>
      </w:r>
      <w:r w:rsidRPr="005A52BA">
        <w:rPr>
          <w:rFonts w:ascii="Times New Roman" w:hAnsi="Times New Roman"/>
          <w:sz w:val="28"/>
          <w:szCs w:val="28"/>
        </w:rPr>
        <w:lastRenderedPageBreak/>
        <w:t>действующего законодательства в установленной с</w:t>
      </w:r>
      <w:r w:rsidR="00577AC8">
        <w:rPr>
          <w:rFonts w:ascii="Times New Roman" w:hAnsi="Times New Roman"/>
          <w:sz w:val="28"/>
          <w:szCs w:val="28"/>
        </w:rPr>
        <w:t>фере деятельности, привлечено к </w:t>
      </w:r>
      <w:r w:rsidRPr="005A52BA">
        <w:rPr>
          <w:rFonts w:ascii="Times New Roman" w:hAnsi="Times New Roman"/>
          <w:sz w:val="28"/>
          <w:szCs w:val="28"/>
        </w:rPr>
        <w:t>административной ответственности должно</w:t>
      </w:r>
      <w:r w:rsidR="00577AC8">
        <w:rPr>
          <w:rFonts w:ascii="Times New Roman" w:hAnsi="Times New Roman"/>
          <w:sz w:val="28"/>
          <w:szCs w:val="28"/>
        </w:rPr>
        <w:t>стное лицо, юридической лицо. В </w:t>
      </w:r>
      <w:r w:rsidRPr="005A52BA">
        <w:rPr>
          <w:rFonts w:ascii="Times New Roman" w:hAnsi="Times New Roman"/>
          <w:sz w:val="28"/>
          <w:szCs w:val="28"/>
        </w:rPr>
        <w:t>отношении ООО «Западно-Сибирский Нефтехимический комбинат» запланирована плановая проверка на 2024год.</w:t>
      </w:r>
    </w:p>
    <w:p w:rsidR="00C14796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284">
        <w:rPr>
          <w:rFonts w:ascii="Times New Roman" w:hAnsi="Times New Roman"/>
          <w:sz w:val="28"/>
          <w:szCs w:val="28"/>
        </w:rPr>
        <w:t xml:space="preserve">За 12 месяцев 2022 года Управлением зарегистрирован 1 несчастный случай (далее - НС) со смертельным исходом, происшедший </w:t>
      </w:r>
      <w:r w:rsidR="00577AC8">
        <w:rPr>
          <w:rFonts w:ascii="Times New Roman" w:hAnsi="Times New Roman"/>
          <w:sz w:val="28"/>
          <w:szCs w:val="28"/>
        </w:rPr>
        <w:t>20 марта 2022 г. (далее - НС) с </w:t>
      </w:r>
      <w:r w:rsidRPr="009D4284">
        <w:rPr>
          <w:rFonts w:ascii="Times New Roman" w:hAnsi="Times New Roman"/>
          <w:sz w:val="28"/>
          <w:szCs w:val="28"/>
        </w:rPr>
        <w:t>вышкомонтажником-электромонтером 5 разряда ООО «Буровая Строительная Компания» (далее – ООО «БСК») НасировымА.Г.о. Несчастный случай произошел вследствие неудовлетворительной организации работ, выразившейся в отсутствии контроля со стороны руководителей и специалистов ООО «МУБР», ООО «Д.Э.С.», ООО «БСК» за работой персонала, соблюдением Правил, требований безопасности при выполнении работ в электроустановках, создан</w:t>
      </w:r>
      <w:r w:rsidR="00577AC8">
        <w:rPr>
          <w:rFonts w:ascii="Times New Roman" w:hAnsi="Times New Roman"/>
          <w:sz w:val="28"/>
          <w:szCs w:val="28"/>
        </w:rPr>
        <w:t>ием безопасных условий труда, а </w:t>
      </w:r>
      <w:r w:rsidRPr="009D4284">
        <w:rPr>
          <w:rFonts w:ascii="Times New Roman" w:hAnsi="Times New Roman"/>
          <w:sz w:val="28"/>
          <w:szCs w:val="28"/>
        </w:rPr>
        <w:t xml:space="preserve">также вследствие. В рамках реализации полномочий в сфере федерального государственного энергетического надзора, направленных на профилактику нарушений обязательных требований, в целях </w:t>
      </w:r>
      <w:r w:rsidR="00577AC8">
        <w:rPr>
          <w:rFonts w:ascii="Times New Roman" w:hAnsi="Times New Roman"/>
          <w:sz w:val="28"/>
          <w:szCs w:val="28"/>
        </w:rPr>
        <w:t>недопущения роста травматизма и </w:t>
      </w:r>
      <w:r w:rsidRPr="009D4284">
        <w:rPr>
          <w:rFonts w:ascii="Times New Roman" w:hAnsi="Times New Roman"/>
          <w:sz w:val="28"/>
          <w:szCs w:val="28"/>
        </w:rPr>
        <w:t>локализации аварийных ситуаций, во исполнение решений п. 11 Протокола оперативного совещания от 06.09.2021 № 19/О</w:t>
      </w:r>
      <w:r w:rsidR="00577AC8">
        <w:rPr>
          <w:rFonts w:ascii="Times New Roman" w:hAnsi="Times New Roman"/>
          <w:sz w:val="28"/>
          <w:szCs w:val="28"/>
        </w:rPr>
        <w:t>С, п. 20 Протокола совещания от </w:t>
      </w:r>
      <w:r w:rsidRPr="009D4284">
        <w:rPr>
          <w:rFonts w:ascii="Times New Roman" w:hAnsi="Times New Roman"/>
          <w:sz w:val="28"/>
          <w:szCs w:val="28"/>
        </w:rPr>
        <w:t>31.03.2022, Управлением 2 июня 2022 года пр</w:t>
      </w:r>
      <w:r w:rsidR="00577AC8">
        <w:rPr>
          <w:rFonts w:ascii="Times New Roman" w:hAnsi="Times New Roman"/>
          <w:sz w:val="28"/>
          <w:szCs w:val="28"/>
        </w:rPr>
        <w:t>оведено совещание в г. Тюмень с </w:t>
      </w:r>
      <w:r w:rsidRPr="009D4284">
        <w:rPr>
          <w:rFonts w:ascii="Times New Roman" w:hAnsi="Times New Roman"/>
          <w:sz w:val="28"/>
          <w:szCs w:val="28"/>
        </w:rPr>
        <w:t xml:space="preserve">заслушиванием информации руководителей </w:t>
      </w:r>
      <w:r w:rsidR="00577AC8">
        <w:rPr>
          <w:rFonts w:ascii="Times New Roman" w:hAnsi="Times New Roman"/>
          <w:sz w:val="28"/>
          <w:szCs w:val="28"/>
        </w:rPr>
        <w:t>эксплуатирующих организаций ООО </w:t>
      </w:r>
      <w:r w:rsidRPr="009D4284">
        <w:rPr>
          <w:rFonts w:ascii="Times New Roman" w:hAnsi="Times New Roman"/>
          <w:sz w:val="28"/>
          <w:szCs w:val="28"/>
        </w:rPr>
        <w:t>«МУБР», ООО «БСК», ООО «Д.Э.С.» о выполнении установленных актом расследования мероприятий и принятии дополнительных мер профилактики травматизма.</w:t>
      </w:r>
    </w:p>
    <w:tbl>
      <w:tblPr>
        <w:tblStyle w:val="41"/>
        <w:tblpPr w:leftFromText="180" w:rightFromText="180" w:vertAnchor="text" w:horzAnchor="margin" w:tblpXSpec="center" w:tblpY="152"/>
        <w:tblW w:w="0" w:type="auto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 w:firstRow="1" w:lastRow="0" w:firstColumn="1" w:lastColumn="0" w:noHBand="0" w:noVBand="1"/>
      </w:tblPr>
      <w:tblGrid>
        <w:gridCol w:w="4959"/>
        <w:gridCol w:w="1275"/>
        <w:gridCol w:w="1276"/>
        <w:gridCol w:w="1276"/>
        <w:gridCol w:w="1177"/>
      </w:tblGrid>
      <w:tr w:rsidR="00C14796" w:rsidRPr="006264E0" w:rsidTr="00033451">
        <w:trPr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t>12 месяцев</w:t>
            </w: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2022 г.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12 месяцев </w:t>
            </w:r>
            <w:r w:rsidRPr="006264E0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2023 г.</w:t>
            </w:r>
          </w:p>
        </w:tc>
      </w:tr>
      <w:tr w:rsidR="00C14796" w:rsidRPr="006264E0" w:rsidTr="00033451">
        <w:trPr>
          <w:trHeight w:val="536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 xml:space="preserve">Аварийность, ед., всего, </w:t>
            </w:r>
          </w:p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14796" w:rsidRPr="006264E0" w:rsidTr="00033451">
        <w:trPr>
          <w:trHeight w:val="28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гидроэлектростанции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7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электроустановки потребителей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6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14796" w:rsidRPr="006264E0" w:rsidTr="00033451">
        <w:trPr>
          <w:trHeight w:val="25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тепловые электростанции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558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 xml:space="preserve">теплогенерирующие установки </w:t>
            </w:r>
          </w:p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и сети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558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Смертельный травматизм, чел., всего, </w:t>
            </w:r>
            <w:r w:rsidRPr="006264E0">
              <w:rPr>
                <w:rFonts w:ascii="Times New Roman" w:eastAsia="Calibri" w:hAnsi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65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гидроэлектростанции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6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электроустановки потребителей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45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249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тепловые электростанции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14796" w:rsidRPr="006264E0" w:rsidTr="00033451">
        <w:trPr>
          <w:trHeight w:val="306"/>
          <w:tblCellSpacing w:w="20" w:type="dxa"/>
          <w:jc w:val="center"/>
        </w:trPr>
        <w:tc>
          <w:tcPr>
            <w:tcW w:w="4899" w:type="dxa"/>
            <w:vAlign w:val="center"/>
          </w:tcPr>
          <w:p w:rsidR="00C14796" w:rsidRPr="006264E0" w:rsidRDefault="00C14796" w:rsidP="00033451">
            <w:pPr>
              <w:ind w:left="171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теплогенерирующие установки и сети</w:t>
            </w:r>
          </w:p>
        </w:tc>
        <w:tc>
          <w:tcPr>
            <w:tcW w:w="1235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  <w:vAlign w:val="center"/>
          </w:tcPr>
          <w:p w:rsidR="00C14796" w:rsidRPr="006264E0" w:rsidRDefault="00C14796" w:rsidP="0003345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264E0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:rsidR="00C14796" w:rsidRPr="005A52BA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2BA">
        <w:rPr>
          <w:rFonts w:ascii="Times New Roman" w:hAnsi="Times New Roman"/>
          <w:sz w:val="28"/>
          <w:szCs w:val="28"/>
        </w:rPr>
        <w:t>Проведенных в отношении поднадзорных субъектов проверках и иных мероприятиях по контролю (надзору) в ди</w:t>
      </w:r>
      <w:r w:rsidR="00577AC8">
        <w:rPr>
          <w:rFonts w:ascii="Times New Roman" w:hAnsi="Times New Roman"/>
          <w:sz w:val="28"/>
          <w:szCs w:val="28"/>
        </w:rPr>
        <w:t>намике изменений по сравнению с </w:t>
      </w:r>
      <w:r w:rsidRPr="005A52BA">
        <w:rPr>
          <w:rFonts w:ascii="Times New Roman" w:hAnsi="Times New Roman"/>
          <w:sz w:val="28"/>
          <w:szCs w:val="28"/>
        </w:rPr>
        <w:t>предыдущим годом: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673"/>
        <w:gridCol w:w="2834"/>
        <w:gridCol w:w="2694"/>
      </w:tblGrid>
      <w:tr w:rsidR="00C14796" w:rsidRPr="00D66246" w:rsidTr="00033451">
        <w:tc>
          <w:tcPr>
            <w:tcW w:w="4673" w:type="dxa"/>
            <w:shd w:val="clear" w:color="auto" w:fill="D0CECE" w:themeFill="background2" w:themeFillShade="E6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>Показатель:</w:t>
            </w:r>
          </w:p>
        </w:tc>
        <w:tc>
          <w:tcPr>
            <w:tcW w:w="2834" w:type="dxa"/>
            <w:shd w:val="clear" w:color="auto" w:fill="D0CECE" w:themeFill="background2" w:themeFillShade="E6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694" w:type="dxa"/>
            <w:shd w:val="clear" w:color="auto" w:fill="D0CECE" w:themeFill="background2" w:themeFillShade="E6"/>
          </w:tcPr>
          <w:p w:rsidR="00C14796" w:rsidRPr="003E25FD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E25FD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C14796" w:rsidRPr="00D66246" w:rsidTr="00033451">
        <w:tc>
          <w:tcPr>
            <w:tcW w:w="4673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2834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1714</w:t>
            </w:r>
          </w:p>
        </w:tc>
        <w:tc>
          <w:tcPr>
            <w:tcW w:w="2694" w:type="dxa"/>
          </w:tcPr>
          <w:p w:rsidR="00C14796" w:rsidRPr="003E25FD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2972</w:t>
            </w:r>
          </w:p>
        </w:tc>
      </w:tr>
      <w:tr w:rsidR="00C14796" w:rsidRPr="00D66246" w:rsidTr="00033451">
        <w:tc>
          <w:tcPr>
            <w:tcW w:w="4673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834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14796" w:rsidRPr="003E25FD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C14796" w:rsidRPr="00D66246" w:rsidTr="00033451">
        <w:tc>
          <w:tcPr>
            <w:tcW w:w="4673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>Объявлено предостережений</w:t>
            </w:r>
          </w:p>
        </w:tc>
        <w:tc>
          <w:tcPr>
            <w:tcW w:w="2834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2694" w:type="dxa"/>
          </w:tcPr>
          <w:p w:rsidR="00C14796" w:rsidRPr="003E25FD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  <w:tr w:rsidR="00C14796" w:rsidRPr="00D66246" w:rsidTr="00033451">
        <w:tc>
          <w:tcPr>
            <w:tcW w:w="4673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 xml:space="preserve">Плановые проверки </w:t>
            </w:r>
          </w:p>
        </w:tc>
        <w:tc>
          <w:tcPr>
            <w:tcW w:w="2834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C14796" w:rsidRPr="00D66246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14796" w:rsidRPr="00D66246" w:rsidTr="00033451">
        <w:tc>
          <w:tcPr>
            <w:tcW w:w="4673" w:type="dxa"/>
          </w:tcPr>
          <w:p w:rsidR="00C14796" w:rsidRPr="00954080" w:rsidRDefault="00C14796" w:rsidP="00033451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080">
              <w:rPr>
                <w:rFonts w:ascii="Times New Roman" w:hAnsi="Times New Roman"/>
                <w:sz w:val="28"/>
                <w:szCs w:val="28"/>
              </w:rPr>
              <w:t>Внеплановые проверки по согласованию с прокуратурой</w:t>
            </w:r>
            <w:r>
              <w:rPr>
                <w:rFonts w:ascii="Times New Roman" w:hAnsi="Times New Roman"/>
                <w:sz w:val="28"/>
                <w:szCs w:val="28"/>
              </w:rPr>
              <w:t>/в качестве представителей Управления</w:t>
            </w:r>
          </w:p>
        </w:tc>
        <w:tc>
          <w:tcPr>
            <w:tcW w:w="2834" w:type="dxa"/>
          </w:tcPr>
          <w:p w:rsidR="00C14796" w:rsidRPr="00954080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14796" w:rsidRPr="00D66246" w:rsidRDefault="00C14796" w:rsidP="00033451">
            <w:pPr>
              <w:tabs>
                <w:tab w:val="left" w:pos="0"/>
              </w:tabs>
              <w:spacing w:line="360" w:lineRule="auto"/>
              <w:ind w:firstLine="709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64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14796" w:rsidRPr="00896760" w:rsidRDefault="00C14796" w:rsidP="00577AC8">
      <w:pPr>
        <w:pStyle w:val="Style4"/>
        <w:shd w:val="clear" w:color="auto" w:fill="auto"/>
        <w:tabs>
          <w:tab w:val="left" w:pos="183"/>
        </w:tabs>
        <w:spacing w:line="360" w:lineRule="auto"/>
        <w:ind w:firstLine="709"/>
        <w:contextualSpacing/>
        <w:rPr>
          <w:rStyle w:val="CharStyle5"/>
          <w:rFonts w:ascii="Times New Roman" w:hAnsi="Times New Roman" w:cs="Times New Roman"/>
          <w:sz w:val="28"/>
          <w:szCs w:val="28"/>
        </w:rPr>
      </w:pPr>
      <w:r w:rsidRPr="00896760">
        <w:rPr>
          <w:rStyle w:val="CharStyle5"/>
          <w:rFonts w:ascii="Times New Roman" w:hAnsi="Times New Roman" w:cs="Times New Roman"/>
          <w:sz w:val="28"/>
          <w:szCs w:val="28"/>
        </w:rPr>
        <w:t>К необходимым организационным, техн</w:t>
      </w:r>
      <w:r w:rsidR="00577AC8">
        <w:rPr>
          <w:rStyle w:val="CharStyle5"/>
          <w:rFonts w:ascii="Times New Roman" w:hAnsi="Times New Roman" w:cs="Times New Roman"/>
          <w:sz w:val="28"/>
          <w:szCs w:val="28"/>
        </w:rPr>
        <w:t>ическим и иным мероприятиям для </w:t>
      </w:r>
      <w:r w:rsidRPr="00896760">
        <w:rPr>
          <w:rStyle w:val="CharStyle5"/>
          <w:rFonts w:ascii="Times New Roman" w:hAnsi="Times New Roman" w:cs="Times New Roman"/>
          <w:sz w:val="28"/>
          <w:szCs w:val="28"/>
        </w:rPr>
        <w:t xml:space="preserve">реализации требований нормативных правовых актов относится: </w:t>
      </w:r>
    </w:p>
    <w:p w:rsidR="00C14796" w:rsidRPr="00896760" w:rsidRDefault="00C14796" w:rsidP="00577AC8">
      <w:pPr>
        <w:pStyle w:val="Style4"/>
        <w:shd w:val="clear" w:color="auto" w:fill="auto"/>
        <w:tabs>
          <w:tab w:val="left" w:pos="183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6760">
        <w:rPr>
          <w:rStyle w:val="CharStyle5"/>
          <w:rFonts w:ascii="Times New Roman" w:hAnsi="Times New Roman" w:cs="Times New Roman"/>
          <w:sz w:val="28"/>
          <w:szCs w:val="28"/>
        </w:rPr>
        <w:t>-  Мониторинг ремонтных работ в ра</w:t>
      </w:r>
      <w:r w:rsidR="00577AC8">
        <w:rPr>
          <w:rStyle w:val="CharStyle5"/>
          <w:rFonts w:ascii="Times New Roman" w:hAnsi="Times New Roman" w:cs="Times New Roman"/>
          <w:sz w:val="28"/>
          <w:szCs w:val="28"/>
        </w:rPr>
        <w:t>мках хода подготовки к работе в </w:t>
      </w:r>
      <w:r w:rsidRPr="00896760">
        <w:rPr>
          <w:rStyle w:val="CharStyle5"/>
          <w:rFonts w:ascii="Times New Roman" w:hAnsi="Times New Roman" w:cs="Times New Roman"/>
          <w:sz w:val="28"/>
          <w:szCs w:val="28"/>
        </w:rPr>
        <w:t>отопительный период 2022-2023 годов.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 Анализ разработанных систем мер по повышению надежности систем централизованного теплоснабжения городов, городских округов, муниципальных районов, квалифицированных по условиям</w:t>
      </w:r>
      <w:r w:rsidRPr="00896760">
        <w:rPr>
          <w:rFonts w:ascii="Times New Roman" w:hAnsi="Times New Roman"/>
          <w:sz w:val="28"/>
          <w:szCs w:val="28"/>
        </w:rPr>
        <w:tab/>
        <w:t>обеспечения</w:t>
      </w:r>
      <w:r w:rsidRPr="00896760">
        <w:rPr>
          <w:rFonts w:ascii="Times New Roman" w:hAnsi="Times New Roman"/>
          <w:sz w:val="28"/>
          <w:szCs w:val="28"/>
        </w:rPr>
        <w:tab/>
        <w:t>надежности как малонадежные и ненадежные в целях реализации п. 6 ч. 2 ст. 5 Федерального закона от 27.07.2010 № 190-ФЗ «О теплоснабжении», раздела 10 Правил организации теплоснабжения в Российской Федерации, утвержденных постановлением Правительства Российской Федерации от 08.08.2012</w:t>
      </w:r>
      <w:r w:rsidRPr="00896760">
        <w:rPr>
          <w:rStyle w:val="CharStyle5"/>
          <w:rFonts w:ascii="Times New Roman" w:hAnsi="Times New Roman"/>
          <w:sz w:val="28"/>
          <w:szCs w:val="28"/>
        </w:rPr>
        <w:t xml:space="preserve"> №808.</w:t>
      </w:r>
    </w:p>
    <w:p w:rsidR="00C14796" w:rsidRPr="00896760" w:rsidRDefault="00C14796" w:rsidP="00577AC8">
      <w:pPr>
        <w:pStyle w:val="Style4"/>
        <w:numPr>
          <w:ilvl w:val="0"/>
          <w:numId w:val="6"/>
        </w:numPr>
        <w:shd w:val="clear" w:color="auto" w:fill="auto"/>
        <w:tabs>
          <w:tab w:val="left" w:pos="22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6760">
        <w:rPr>
          <w:rStyle w:val="CharStyle5"/>
          <w:rFonts w:ascii="Times New Roman" w:hAnsi="Times New Roman" w:cs="Times New Roman"/>
          <w:sz w:val="28"/>
          <w:szCs w:val="28"/>
        </w:rPr>
        <w:t>Применение динамической</w:t>
      </w:r>
      <w:r w:rsidRPr="00896760">
        <w:rPr>
          <w:rStyle w:val="CharStyle10"/>
          <w:rFonts w:eastAsiaTheme="minorHAnsi"/>
          <w:i w:val="0"/>
          <w:sz w:val="28"/>
          <w:szCs w:val="28"/>
        </w:rPr>
        <w:t xml:space="preserve"> модели с целью актуализации</w:t>
      </w:r>
      <w:r w:rsidRPr="00896760">
        <w:rPr>
          <w:rStyle w:val="CharStyle5"/>
          <w:rFonts w:ascii="Times New Roman" w:hAnsi="Times New Roman" w:cs="Times New Roman"/>
          <w:sz w:val="28"/>
          <w:szCs w:val="28"/>
        </w:rPr>
        <w:t xml:space="preserve"> категорий риска деятельности потребителей электрической энергии для организаций, использующих для собственных нужд объекты теплоэнергетики и имеющих статус </w:t>
      </w:r>
      <w:r w:rsidRPr="00896760">
        <w:rPr>
          <w:rStyle w:val="CharStyle5"/>
          <w:rFonts w:ascii="Times New Roman" w:hAnsi="Times New Roman" w:cs="Times New Roman"/>
          <w:sz w:val="28"/>
          <w:szCs w:val="28"/>
        </w:rPr>
        <w:lastRenderedPageBreak/>
        <w:t xml:space="preserve">объекта промышленной опасности.    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Управлением используется практика заслушивания муниципальных           образований Тюменской области по устранению и недопущению выявленных нарушени</w:t>
      </w:r>
      <w:r w:rsidR="00577AC8">
        <w:rPr>
          <w:rFonts w:ascii="Times New Roman" w:hAnsi="Times New Roman"/>
          <w:sz w:val="28"/>
          <w:szCs w:val="28"/>
        </w:rPr>
        <w:t xml:space="preserve">й при подготовке и прохождению </w:t>
      </w:r>
      <w:r w:rsidRPr="00896760">
        <w:rPr>
          <w:rFonts w:ascii="Times New Roman" w:hAnsi="Times New Roman"/>
          <w:sz w:val="28"/>
          <w:szCs w:val="28"/>
        </w:rPr>
        <w:t>отопительного периода 2021-2022 гг. на</w:t>
      </w:r>
      <w:r w:rsidR="00577AC8">
        <w:rPr>
          <w:rFonts w:ascii="Times New Roman" w:hAnsi="Times New Roman"/>
          <w:sz w:val="28"/>
          <w:szCs w:val="28"/>
        </w:rPr>
        <w:t> </w:t>
      </w:r>
      <w:r w:rsidRPr="00896760">
        <w:rPr>
          <w:rFonts w:ascii="Times New Roman" w:hAnsi="Times New Roman"/>
          <w:sz w:val="28"/>
          <w:szCs w:val="28"/>
        </w:rPr>
        <w:t>заседаниях штаба по обеспечению безопасности электроснабжения в Тюменской области.</w:t>
      </w:r>
    </w:p>
    <w:p w:rsidR="00C14796" w:rsidRPr="00896760" w:rsidRDefault="00C14796" w:rsidP="00577AC8">
      <w:pPr>
        <w:pStyle w:val="Style4"/>
        <w:tabs>
          <w:tab w:val="left" w:pos="22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6760">
        <w:rPr>
          <w:rFonts w:ascii="Times New Roman" w:hAnsi="Times New Roman" w:cs="Times New Roman"/>
          <w:sz w:val="28"/>
          <w:szCs w:val="28"/>
        </w:rPr>
        <w:t>-  В режиме межведомственного диалога осуществляется мониторинг информации о показателях статуса объектов энергетики, которые не являются объектами</w:t>
      </w:r>
      <w:r w:rsidR="00577AC8">
        <w:rPr>
          <w:rFonts w:ascii="Times New Roman" w:hAnsi="Times New Roman" w:cs="Times New Roman"/>
          <w:sz w:val="28"/>
          <w:szCs w:val="28"/>
        </w:rPr>
        <w:t xml:space="preserve"> </w:t>
      </w:r>
      <w:r w:rsidRPr="00896760">
        <w:rPr>
          <w:rFonts w:ascii="Times New Roman" w:hAnsi="Times New Roman" w:cs="Times New Roman"/>
          <w:sz w:val="28"/>
          <w:szCs w:val="28"/>
        </w:rPr>
        <w:t>муниципальной собственности, являются бесхозяйными или собственник которых не определен. При поступлении информации в</w:t>
      </w:r>
      <w:r w:rsidR="00577AC8">
        <w:rPr>
          <w:rFonts w:ascii="Times New Roman" w:hAnsi="Times New Roman" w:cs="Times New Roman"/>
          <w:sz w:val="28"/>
          <w:szCs w:val="28"/>
        </w:rPr>
        <w:t xml:space="preserve"> адрес Управления о </w:t>
      </w:r>
      <w:r w:rsidRPr="00896760">
        <w:rPr>
          <w:rFonts w:ascii="Times New Roman" w:hAnsi="Times New Roman" w:cs="Times New Roman"/>
          <w:sz w:val="28"/>
          <w:szCs w:val="28"/>
        </w:rPr>
        <w:t>нарушениях на объектах, имеющих статус бесх</w:t>
      </w:r>
      <w:r w:rsidR="00577AC8">
        <w:rPr>
          <w:rFonts w:ascii="Times New Roman" w:hAnsi="Times New Roman" w:cs="Times New Roman"/>
          <w:sz w:val="28"/>
          <w:szCs w:val="28"/>
        </w:rPr>
        <w:t>озяйного объекта/собственник не </w:t>
      </w:r>
      <w:r w:rsidRPr="00896760">
        <w:rPr>
          <w:rFonts w:ascii="Times New Roman" w:hAnsi="Times New Roman" w:cs="Times New Roman"/>
          <w:sz w:val="28"/>
          <w:szCs w:val="28"/>
        </w:rPr>
        <w:t>определен, в процессе подготовки к предстоящему отопительному периоду были применены меры административного воздействия.</w:t>
      </w:r>
    </w:p>
    <w:p w:rsidR="00C14796" w:rsidRPr="00896760" w:rsidRDefault="00C14796" w:rsidP="00577AC8">
      <w:pPr>
        <w:pStyle w:val="Style4"/>
        <w:numPr>
          <w:ilvl w:val="0"/>
          <w:numId w:val="5"/>
        </w:numPr>
        <w:shd w:val="clear" w:color="auto" w:fill="auto"/>
        <w:tabs>
          <w:tab w:val="left" w:pos="22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6760">
        <w:rPr>
          <w:rFonts w:ascii="Times New Roman" w:hAnsi="Times New Roman" w:cs="Times New Roman"/>
          <w:sz w:val="28"/>
          <w:szCs w:val="28"/>
        </w:rPr>
        <w:t>При подготовке персонала поднадзорных организаций выявлен 1 случай предоставления поддельных документов в адрес Управления, по поддельным документам направлены информационные пи</w:t>
      </w:r>
      <w:r w:rsidR="00577AC8">
        <w:rPr>
          <w:rFonts w:ascii="Times New Roman" w:hAnsi="Times New Roman" w:cs="Times New Roman"/>
          <w:sz w:val="28"/>
          <w:szCs w:val="28"/>
        </w:rPr>
        <w:t>сьма организациям-заявителям, в </w:t>
      </w:r>
      <w:r w:rsidRPr="00896760">
        <w:rPr>
          <w:rFonts w:ascii="Times New Roman" w:hAnsi="Times New Roman" w:cs="Times New Roman"/>
          <w:sz w:val="28"/>
          <w:szCs w:val="28"/>
        </w:rPr>
        <w:t>районную прокуратуру для принятия мер прокурорского реагирования, фактов повторяющихся событий не выявлено.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Наложенных по результатам указанных мероприятий мерах административной и иной публично-правовой ответственности: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По результатам проверок, проведенных в рамках Федерального закона № 248 от 31.07.2020 «О государственном контроле (надзоре</w:t>
      </w:r>
      <w:r w:rsidR="00577AC8">
        <w:rPr>
          <w:rFonts w:ascii="Times New Roman" w:hAnsi="Times New Roman"/>
          <w:sz w:val="28"/>
          <w:szCs w:val="28"/>
        </w:rPr>
        <w:t>) и муниципальном контроле в </w:t>
      </w:r>
      <w:r w:rsidRPr="00896760">
        <w:rPr>
          <w:rFonts w:ascii="Times New Roman" w:hAnsi="Times New Roman"/>
          <w:sz w:val="28"/>
          <w:szCs w:val="28"/>
        </w:rPr>
        <w:t>Российской Федерации» (Федеральный закон № 248) выявлено 4179 нарушений.  Количество нарушений выявленных при у</w:t>
      </w:r>
      <w:r w:rsidR="00577AC8">
        <w:rPr>
          <w:rFonts w:ascii="Times New Roman" w:hAnsi="Times New Roman"/>
          <w:sz w:val="28"/>
          <w:szCs w:val="28"/>
        </w:rPr>
        <w:t>частии сотрудников Управления в </w:t>
      </w:r>
      <w:r w:rsidRPr="00896760">
        <w:rPr>
          <w:rFonts w:ascii="Times New Roman" w:hAnsi="Times New Roman"/>
          <w:sz w:val="28"/>
          <w:szCs w:val="28"/>
        </w:rPr>
        <w:t>проверках, проводимых органами прокуратуры 287.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43 административных наказания вменено по результатам проведения 18 плановых проверок, по результатам плановых проверок судом выполнен</w:t>
      </w:r>
      <w:r w:rsidR="007F4484">
        <w:rPr>
          <w:rFonts w:ascii="Times New Roman" w:hAnsi="Times New Roman"/>
          <w:sz w:val="28"/>
          <w:szCs w:val="28"/>
        </w:rPr>
        <w:t>о</w:t>
      </w:r>
      <w:r w:rsidRPr="00896760">
        <w:rPr>
          <w:rFonts w:ascii="Times New Roman" w:hAnsi="Times New Roman"/>
          <w:sz w:val="28"/>
          <w:szCs w:val="28"/>
        </w:rPr>
        <w:t xml:space="preserve"> приостанов</w:t>
      </w:r>
      <w:r w:rsidR="007F4484">
        <w:rPr>
          <w:rFonts w:ascii="Times New Roman" w:hAnsi="Times New Roman"/>
          <w:sz w:val="28"/>
          <w:szCs w:val="28"/>
        </w:rPr>
        <w:t>ление</w:t>
      </w:r>
      <w:r w:rsidRPr="00896760">
        <w:rPr>
          <w:rFonts w:ascii="Times New Roman" w:hAnsi="Times New Roman"/>
          <w:sz w:val="28"/>
          <w:szCs w:val="28"/>
        </w:rPr>
        <w:t xml:space="preserve"> деятельности объекта – трансформаторной подстанции №</w:t>
      </w:r>
      <w:r w:rsidR="00577AC8">
        <w:rPr>
          <w:rFonts w:ascii="Times New Roman" w:hAnsi="Times New Roman"/>
          <w:sz w:val="28"/>
          <w:szCs w:val="28"/>
        </w:rPr>
        <w:t xml:space="preserve"> 252 на 42 суток,</w:t>
      </w:r>
      <w:r w:rsidRPr="00896760">
        <w:rPr>
          <w:rFonts w:ascii="Times New Roman" w:hAnsi="Times New Roman"/>
          <w:sz w:val="28"/>
          <w:szCs w:val="28"/>
        </w:rPr>
        <w:t xml:space="preserve"> по результатам неплановых проверок назначено 6 административных наказаний, по результатам проверок (по материалам и информации, поступившим </w:t>
      </w:r>
      <w:r w:rsidRPr="00896760">
        <w:rPr>
          <w:rFonts w:ascii="Times New Roman" w:hAnsi="Times New Roman"/>
          <w:sz w:val="28"/>
          <w:szCs w:val="28"/>
        </w:rPr>
        <w:lastRenderedPageBreak/>
        <w:t>из</w:t>
      </w:r>
      <w:r w:rsidR="00577AC8">
        <w:rPr>
          <w:rFonts w:ascii="Times New Roman" w:hAnsi="Times New Roman"/>
          <w:sz w:val="28"/>
          <w:szCs w:val="28"/>
        </w:rPr>
        <w:t> </w:t>
      </w:r>
      <w:r w:rsidRPr="00896760">
        <w:rPr>
          <w:rFonts w:ascii="Times New Roman" w:hAnsi="Times New Roman"/>
          <w:sz w:val="28"/>
          <w:szCs w:val="28"/>
        </w:rPr>
        <w:t>других органов, организаций вменено 86 административных наказаний, обжаловано 1, все штрафы оплачены.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14 административных дел получено из других органов и рассмотренных в установленном порядке по ст. 14,61 КоАП  РФ, наложено штрафа на общую сумму 400 тыс. руб., штрафы взысканы на сумму 350,0 тыс. руб. По 1 административному делу вынесено наказание в виде предупреждения.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15 административных дел по ст. 9.22 КоАП</w:t>
      </w:r>
      <w:r w:rsidR="007F4484">
        <w:rPr>
          <w:rFonts w:ascii="Times New Roman" w:hAnsi="Times New Roman"/>
          <w:sz w:val="28"/>
          <w:szCs w:val="28"/>
        </w:rPr>
        <w:t xml:space="preserve"> РФ рассмотрены в установленном</w:t>
      </w:r>
      <w:r w:rsidRPr="00896760">
        <w:rPr>
          <w:rFonts w:ascii="Times New Roman" w:hAnsi="Times New Roman"/>
          <w:sz w:val="28"/>
          <w:szCs w:val="28"/>
        </w:rPr>
        <w:t>,</w:t>
      </w:r>
      <w:r w:rsidR="007F4484">
        <w:rPr>
          <w:rFonts w:ascii="Times New Roman" w:hAnsi="Times New Roman"/>
          <w:sz w:val="28"/>
          <w:szCs w:val="28"/>
        </w:rPr>
        <w:t xml:space="preserve"> </w:t>
      </w:r>
      <w:r w:rsidRPr="00896760">
        <w:rPr>
          <w:rFonts w:ascii="Times New Roman" w:hAnsi="Times New Roman"/>
          <w:sz w:val="28"/>
          <w:szCs w:val="28"/>
        </w:rPr>
        <w:t>наложено 680 тыс.</w:t>
      </w:r>
      <w:r w:rsidR="007F4484">
        <w:rPr>
          <w:rFonts w:ascii="Times New Roman" w:hAnsi="Times New Roman"/>
          <w:sz w:val="28"/>
          <w:szCs w:val="28"/>
        </w:rPr>
        <w:t xml:space="preserve"> </w:t>
      </w:r>
      <w:r w:rsidRPr="00896760">
        <w:rPr>
          <w:rFonts w:ascii="Times New Roman" w:hAnsi="Times New Roman"/>
          <w:sz w:val="28"/>
          <w:szCs w:val="28"/>
        </w:rPr>
        <w:t>руб.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Проведенные профилактические мероприятия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В целях реализации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федерального государственного энергетического надзора, Управлением разработан и утвержден График реализации профилактических мероприятий Управления на 2023 год.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В рамках исполнения графика проведены следующие мероприятия:</w:t>
      </w:r>
    </w:p>
    <w:p w:rsidR="00C14796" w:rsidRPr="00896760" w:rsidRDefault="00C14796" w:rsidP="00577AC8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информирование - 2972;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В адрес организаций регулярно направляли информационные письма: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«Об анализе несчастных случаев на энергоустановках»;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«О проведении обучения в заочной форме».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2) обобщение правоприменительной практики: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- 28.09.2023 принято участие в публичных обсуждениях результатов правоприменительной практики Северо-Уральского управления Ростехнадзора при осуществлении федерального государственного надзора за 6 месяцев 2023 года;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принято участие в публичных обсуждениях результатов правоприменительной практики Северо-Уральско</w:t>
      </w:r>
      <w:r w:rsidR="00577AC8">
        <w:rPr>
          <w:rFonts w:ascii="Times New Roman" w:hAnsi="Times New Roman"/>
          <w:sz w:val="28"/>
          <w:szCs w:val="28"/>
        </w:rPr>
        <w:t>го управления Ростехнадзора при </w:t>
      </w:r>
      <w:r w:rsidRPr="00896760">
        <w:rPr>
          <w:rFonts w:ascii="Times New Roman" w:hAnsi="Times New Roman"/>
          <w:sz w:val="28"/>
          <w:szCs w:val="28"/>
        </w:rPr>
        <w:t>осуществлении федерального государственного надзора за 3 месяца 2023 года;</w:t>
      </w:r>
    </w:p>
    <w:p w:rsidR="00C14796" w:rsidRPr="00896760" w:rsidRDefault="00C14796" w:rsidP="00577AC8">
      <w:pPr>
        <w:pStyle w:val="af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объявление предостережения:</w:t>
      </w:r>
    </w:p>
    <w:p w:rsidR="00C14796" w:rsidRPr="00896760" w:rsidRDefault="00C14796" w:rsidP="00577AC8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- объявлено 432 предостережения о недопустимости нарушений обязательных требований Правил.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4) консультирование:</w:t>
      </w:r>
    </w:p>
    <w:p w:rsidR="00C14796" w:rsidRPr="00896760" w:rsidRDefault="00C14796" w:rsidP="00577A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lastRenderedPageBreak/>
        <w:t>-проведено 132 консультации по вопросам федерального государственного энергетического надзора в сфере теплоснабжения  по вопросам разъяснения положений нормативных правовых актов, содержащих обязательные требования Правил.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>Результаты административного и судебного оспаривания решений, действий (бездействия) Ростехнадзора и его должностных лиц</w:t>
      </w:r>
    </w:p>
    <w:p w:rsidR="00C14796" w:rsidRPr="00896760" w:rsidRDefault="00C14796" w:rsidP="00577AC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96760">
        <w:rPr>
          <w:rFonts w:ascii="Times New Roman" w:hAnsi="Times New Roman"/>
          <w:sz w:val="28"/>
          <w:szCs w:val="28"/>
        </w:rPr>
        <w:t xml:space="preserve">Действия (бездействия) должностных лиц не оспаривались. </w:t>
      </w:r>
    </w:p>
    <w:p w:rsidR="00C14796" w:rsidRDefault="00C14796" w:rsidP="00C14796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14796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81" w:rsidRDefault="004F1281" w:rsidP="006E1631">
      <w:pPr>
        <w:spacing w:after="0" w:line="240" w:lineRule="auto"/>
      </w:pPr>
      <w:r>
        <w:separator/>
      </w:r>
    </w:p>
  </w:endnote>
  <w:endnote w:type="continuationSeparator" w:id="0">
    <w:p w:rsidR="004F1281" w:rsidRDefault="004F1281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81" w:rsidRDefault="004F1281" w:rsidP="006E1631">
      <w:pPr>
        <w:spacing w:after="0" w:line="240" w:lineRule="auto"/>
      </w:pPr>
      <w:r>
        <w:separator/>
      </w:r>
    </w:p>
  </w:footnote>
  <w:footnote w:type="continuationSeparator" w:id="0">
    <w:p w:rsidR="004F1281" w:rsidRDefault="004F1281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577AC8">
          <w:rPr>
            <w:rFonts w:ascii="Times New Roman" w:hAnsi="Times New Roman" w:cs="Times New Roman"/>
            <w:noProof/>
          </w:rPr>
          <w:t>4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51"/>
    <w:rsid w:val="00084C80"/>
    <w:rsid w:val="000A3E43"/>
    <w:rsid w:val="000A5CFA"/>
    <w:rsid w:val="000D4762"/>
    <w:rsid w:val="000E55E7"/>
    <w:rsid w:val="00110310"/>
    <w:rsid w:val="00126562"/>
    <w:rsid w:val="00137AA4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77DF"/>
    <w:rsid w:val="004530E5"/>
    <w:rsid w:val="00464F93"/>
    <w:rsid w:val="00472308"/>
    <w:rsid w:val="004778AB"/>
    <w:rsid w:val="004F1281"/>
    <w:rsid w:val="004F4EA3"/>
    <w:rsid w:val="004F52E1"/>
    <w:rsid w:val="0050648C"/>
    <w:rsid w:val="00530656"/>
    <w:rsid w:val="00543809"/>
    <w:rsid w:val="005654F7"/>
    <w:rsid w:val="00577AC8"/>
    <w:rsid w:val="00585CB2"/>
    <w:rsid w:val="00591D98"/>
    <w:rsid w:val="0059438F"/>
    <w:rsid w:val="005A52BA"/>
    <w:rsid w:val="005B08B9"/>
    <w:rsid w:val="005B5158"/>
    <w:rsid w:val="005D15C0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563BB"/>
    <w:rsid w:val="00A202C9"/>
    <w:rsid w:val="00A24D9C"/>
    <w:rsid w:val="00A34FC9"/>
    <w:rsid w:val="00A5341A"/>
    <w:rsid w:val="00A618A5"/>
    <w:rsid w:val="00A91888"/>
    <w:rsid w:val="00AA461C"/>
    <w:rsid w:val="00AC535A"/>
    <w:rsid w:val="00AD131C"/>
    <w:rsid w:val="00AD22CC"/>
    <w:rsid w:val="00B17C44"/>
    <w:rsid w:val="00B24680"/>
    <w:rsid w:val="00B34D91"/>
    <w:rsid w:val="00B40582"/>
    <w:rsid w:val="00B664EB"/>
    <w:rsid w:val="00B80734"/>
    <w:rsid w:val="00BA4F79"/>
    <w:rsid w:val="00BF0248"/>
    <w:rsid w:val="00BF144E"/>
    <w:rsid w:val="00C14796"/>
    <w:rsid w:val="00C33C3B"/>
    <w:rsid w:val="00C579AD"/>
    <w:rsid w:val="00CC5FC6"/>
    <w:rsid w:val="00CD641C"/>
    <w:rsid w:val="00CD7926"/>
    <w:rsid w:val="00D07B08"/>
    <w:rsid w:val="00D135B4"/>
    <w:rsid w:val="00D36960"/>
    <w:rsid w:val="00D456BE"/>
    <w:rsid w:val="00D87B1A"/>
    <w:rsid w:val="00D953A8"/>
    <w:rsid w:val="00DB49DF"/>
    <w:rsid w:val="00DB7D7B"/>
    <w:rsid w:val="00E10C5A"/>
    <w:rsid w:val="00E111E4"/>
    <w:rsid w:val="00E57127"/>
    <w:rsid w:val="00E65E7A"/>
    <w:rsid w:val="00E804BF"/>
    <w:rsid w:val="00EC18EB"/>
    <w:rsid w:val="00ED3A39"/>
    <w:rsid w:val="00ED67F3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1EBA3A-493B-4746-A5C0-464E606C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124</cp:revision>
  <dcterms:created xsi:type="dcterms:W3CDTF">2024-01-18T10:48:00Z</dcterms:created>
  <dcterms:modified xsi:type="dcterms:W3CDTF">2024-03-15T06:45:00Z</dcterms:modified>
</cp:coreProperties>
</file>